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F16" w:rsidRDefault="001A6F16" w:rsidP="001A6F16">
      <w:pPr>
        <w:spacing w:after="120"/>
        <w:jc w:val="both"/>
        <w:rPr>
          <w:rFonts w:ascii="Arial" w:hAnsi="Arial" w:cs="Arial"/>
          <w:sz w:val="22"/>
          <w:szCs w:val="22"/>
        </w:rPr>
      </w:pPr>
      <w:bookmarkStart w:id="0" w:name="_GoBack"/>
      <w:bookmarkEnd w:id="0"/>
    </w:p>
    <w:p w:rsidR="00096690" w:rsidRDefault="00096690" w:rsidP="00692FDA">
      <w:pPr>
        <w:numPr>
          <w:ilvl w:val="0"/>
          <w:numId w:val="1"/>
        </w:numPr>
        <w:spacing w:before="240"/>
        <w:ind w:left="357" w:hanging="357"/>
        <w:jc w:val="both"/>
        <w:rPr>
          <w:rFonts w:ascii="Arial" w:hAnsi="Arial" w:cs="Arial"/>
          <w:sz w:val="22"/>
          <w:szCs w:val="22"/>
        </w:rPr>
      </w:pPr>
      <w:r w:rsidRPr="00BD3E86">
        <w:rPr>
          <w:rFonts w:ascii="Arial" w:hAnsi="Arial" w:cs="Arial"/>
          <w:sz w:val="22"/>
          <w:szCs w:val="22"/>
        </w:rPr>
        <w:t xml:space="preserve">Transit oriented development (TOD) has been a primary land-use planning strategy of successive South East Queensland (SEQ) regional plans including the recently released </w:t>
      </w:r>
      <w:r w:rsidRPr="004459A6">
        <w:rPr>
          <w:rFonts w:ascii="Arial" w:hAnsi="Arial" w:cs="Arial"/>
          <w:i/>
          <w:sz w:val="22"/>
          <w:szCs w:val="22"/>
        </w:rPr>
        <w:t>South East Queensland Regional Plan 2009 – 2031</w:t>
      </w:r>
      <w:r w:rsidRPr="00BD3E86">
        <w:rPr>
          <w:rFonts w:ascii="Arial" w:hAnsi="Arial" w:cs="Arial"/>
          <w:sz w:val="22"/>
          <w:szCs w:val="22"/>
        </w:rPr>
        <w:t xml:space="preserve"> (SEQ Regional Plan).</w:t>
      </w:r>
    </w:p>
    <w:p w:rsidR="00096690" w:rsidRPr="00BD3E86" w:rsidRDefault="00096690" w:rsidP="00692FDA">
      <w:pPr>
        <w:numPr>
          <w:ilvl w:val="0"/>
          <w:numId w:val="1"/>
        </w:numPr>
        <w:tabs>
          <w:tab w:val="num" w:pos="360"/>
        </w:tabs>
        <w:spacing w:before="240"/>
        <w:ind w:left="357" w:hanging="357"/>
        <w:jc w:val="both"/>
        <w:rPr>
          <w:rFonts w:ascii="Arial" w:hAnsi="Arial" w:cs="Arial"/>
          <w:sz w:val="22"/>
          <w:szCs w:val="22"/>
        </w:rPr>
      </w:pPr>
      <w:r w:rsidRPr="00BD3E86">
        <w:rPr>
          <w:rFonts w:ascii="Arial" w:hAnsi="Arial" w:cs="Arial"/>
          <w:sz w:val="22"/>
          <w:szCs w:val="22"/>
        </w:rPr>
        <w:t>TOD is characterised by a rapid and frequent transit service; high accessibility to the station; mixed-uses; good quality public spaces; pedestrian and cyclist-friendly streets; medium to high-density development; and reduced rates of parking for private vehicles.</w:t>
      </w:r>
    </w:p>
    <w:p w:rsidR="00096690" w:rsidRPr="00BD3E86" w:rsidRDefault="00096690" w:rsidP="00692FDA">
      <w:pPr>
        <w:numPr>
          <w:ilvl w:val="0"/>
          <w:numId w:val="1"/>
        </w:numPr>
        <w:tabs>
          <w:tab w:val="num" w:pos="360"/>
        </w:tabs>
        <w:spacing w:before="240"/>
        <w:ind w:left="357" w:hanging="357"/>
        <w:jc w:val="both"/>
        <w:rPr>
          <w:rFonts w:ascii="Arial" w:hAnsi="Arial" w:cs="Arial"/>
          <w:sz w:val="22"/>
          <w:szCs w:val="22"/>
        </w:rPr>
      </w:pPr>
      <w:r>
        <w:rPr>
          <w:rFonts w:ascii="Arial" w:hAnsi="Arial" w:cs="Arial"/>
          <w:sz w:val="22"/>
          <w:szCs w:val="22"/>
        </w:rPr>
        <w:t>TOD</w:t>
      </w:r>
      <w:r w:rsidRPr="00BD3E86">
        <w:rPr>
          <w:rFonts w:ascii="Arial" w:hAnsi="Arial" w:cs="Arial"/>
          <w:sz w:val="22"/>
          <w:szCs w:val="22"/>
        </w:rPr>
        <w:t xml:space="preserve"> supports </w:t>
      </w:r>
      <w:r>
        <w:rPr>
          <w:rFonts w:ascii="Arial" w:hAnsi="Arial" w:cs="Arial"/>
          <w:sz w:val="22"/>
          <w:szCs w:val="22"/>
        </w:rPr>
        <w:t>G</w:t>
      </w:r>
      <w:r w:rsidRPr="00BD3E86">
        <w:rPr>
          <w:rFonts w:ascii="Arial" w:hAnsi="Arial" w:cs="Arial"/>
          <w:sz w:val="22"/>
          <w:szCs w:val="22"/>
        </w:rPr>
        <w:t>overnment’s Q2 (Green, Healthy</w:t>
      </w:r>
      <w:r>
        <w:rPr>
          <w:rFonts w:ascii="Arial" w:hAnsi="Arial" w:cs="Arial"/>
          <w:sz w:val="22"/>
          <w:szCs w:val="22"/>
        </w:rPr>
        <w:t>, Strong</w:t>
      </w:r>
      <w:r w:rsidRPr="00BD3E86">
        <w:rPr>
          <w:rFonts w:ascii="Arial" w:hAnsi="Arial" w:cs="Arial"/>
          <w:sz w:val="22"/>
          <w:szCs w:val="22"/>
        </w:rPr>
        <w:t>) aspirations, assisting delivery of congestion management and climate change agendas and presents major benefits by responding to population growth, changing demographics, oil scarcity, increasing energy costs, decreasing housing affordability and declining health and lower levels of physical activity.</w:t>
      </w:r>
    </w:p>
    <w:p w:rsidR="00096690" w:rsidRPr="001C0381" w:rsidRDefault="00096690" w:rsidP="00692FDA">
      <w:pPr>
        <w:numPr>
          <w:ilvl w:val="0"/>
          <w:numId w:val="1"/>
        </w:numPr>
        <w:tabs>
          <w:tab w:val="num" w:pos="360"/>
        </w:tabs>
        <w:spacing w:before="240"/>
        <w:ind w:left="357" w:hanging="357"/>
        <w:jc w:val="both"/>
        <w:rPr>
          <w:rFonts w:ascii="Arial" w:hAnsi="Arial" w:cs="Arial"/>
          <w:sz w:val="22"/>
          <w:szCs w:val="22"/>
        </w:rPr>
      </w:pPr>
      <w:r>
        <w:rPr>
          <w:rFonts w:ascii="Arial" w:hAnsi="Arial" w:cs="Arial"/>
          <w:sz w:val="22"/>
          <w:szCs w:val="22"/>
        </w:rPr>
        <w:t>It is critical G</w:t>
      </w:r>
      <w:r w:rsidRPr="00BD3E86">
        <w:rPr>
          <w:rFonts w:ascii="Arial" w:hAnsi="Arial" w:cs="Arial"/>
          <w:sz w:val="22"/>
          <w:szCs w:val="22"/>
        </w:rPr>
        <w:t>overnment can demonstrate the benefits of this form of development to industry and the community through high quality examples on the ground. This will build confidence in government’s ability to deliver on TOD outcomes relied upon to support government’s growth management, climate change and congestion management agendas.</w:t>
      </w:r>
    </w:p>
    <w:p w:rsidR="001C0381" w:rsidRPr="00011F56" w:rsidRDefault="00011F56" w:rsidP="00692FDA">
      <w:pPr>
        <w:numPr>
          <w:ilvl w:val="0"/>
          <w:numId w:val="1"/>
        </w:numPr>
        <w:tabs>
          <w:tab w:val="num" w:pos="360"/>
        </w:tabs>
        <w:autoSpaceDE w:val="0"/>
        <w:autoSpaceDN w:val="0"/>
        <w:adjustRightInd w:val="0"/>
        <w:spacing w:before="240"/>
        <w:ind w:left="357" w:hanging="357"/>
        <w:jc w:val="both"/>
        <w:rPr>
          <w:rFonts w:ascii="Arial" w:eastAsia="PMingLiU" w:hAnsi="Arial" w:cs="Arial"/>
          <w:color w:val="auto"/>
          <w:sz w:val="22"/>
          <w:szCs w:val="22"/>
        </w:rPr>
      </w:pPr>
      <w:r w:rsidRPr="00011F56">
        <w:rPr>
          <w:rFonts w:ascii="Arial" w:eastAsia="PMingLiU" w:hAnsi="Arial" w:cs="Arial"/>
          <w:color w:val="auto"/>
          <w:sz w:val="22"/>
          <w:szCs w:val="22"/>
        </w:rPr>
        <w:t>T</w:t>
      </w:r>
      <w:r w:rsidR="001C0381" w:rsidRPr="00011F56">
        <w:rPr>
          <w:rFonts w:ascii="Arial" w:eastAsia="PMingLiU" w:hAnsi="Arial" w:cs="Arial"/>
          <w:color w:val="auto"/>
          <w:sz w:val="22"/>
          <w:szCs w:val="22"/>
        </w:rPr>
        <w:t>here are challenges to achieving good transit oriented development outcomes on the ground.</w:t>
      </w:r>
      <w:r w:rsidRPr="00011F56">
        <w:rPr>
          <w:rFonts w:ascii="Arial" w:eastAsia="PMingLiU" w:hAnsi="Arial" w:cs="Arial"/>
          <w:color w:val="auto"/>
          <w:sz w:val="22"/>
          <w:szCs w:val="22"/>
        </w:rPr>
        <w:t xml:space="preserve">  T</w:t>
      </w:r>
      <w:r w:rsidR="001C0381" w:rsidRPr="00011F56">
        <w:rPr>
          <w:rFonts w:ascii="Arial" w:eastAsia="PMingLiU" w:hAnsi="Arial" w:cs="Arial"/>
          <w:color w:val="auto"/>
          <w:sz w:val="22"/>
          <w:szCs w:val="22"/>
        </w:rPr>
        <w:t xml:space="preserve">his </w:t>
      </w:r>
      <w:r w:rsidR="001C0381" w:rsidRPr="00011F56">
        <w:rPr>
          <w:rFonts w:ascii="Arial" w:eastAsia="PMingLiU" w:hAnsi="Arial" w:cs="Arial"/>
          <w:i/>
          <w:iCs/>
          <w:color w:val="auto"/>
          <w:sz w:val="22"/>
          <w:szCs w:val="22"/>
        </w:rPr>
        <w:t xml:space="preserve">Transit oriented development guide </w:t>
      </w:r>
      <w:r w:rsidR="001C0381" w:rsidRPr="00011F56">
        <w:rPr>
          <w:rFonts w:ascii="Arial" w:eastAsia="PMingLiU" w:hAnsi="Arial" w:cs="Arial"/>
          <w:color w:val="auto"/>
          <w:sz w:val="22"/>
          <w:szCs w:val="22"/>
        </w:rPr>
        <w:t>aims to encourage good practice in applying transit oriented</w:t>
      </w:r>
      <w:r w:rsidRPr="00011F56">
        <w:rPr>
          <w:rFonts w:ascii="Arial" w:eastAsia="PMingLiU" w:hAnsi="Arial" w:cs="Arial"/>
          <w:color w:val="auto"/>
          <w:sz w:val="22"/>
          <w:szCs w:val="22"/>
        </w:rPr>
        <w:t xml:space="preserve"> </w:t>
      </w:r>
      <w:r w:rsidR="001C0381" w:rsidRPr="00011F56">
        <w:rPr>
          <w:rFonts w:ascii="Arial" w:eastAsia="PMingLiU" w:hAnsi="Arial" w:cs="Arial"/>
          <w:color w:val="auto"/>
          <w:sz w:val="22"/>
          <w:szCs w:val="22"/>
        </w:rPr>
        <w:t>development principles for implementation in Queensland. It contains a suite of guidelines and planning</w:t>
      </w:r>
      <w:r w:rsidRPr="00011F56">
        <w:rPr>
          <w:rFonts w:ascii="Arial" w:eastAsia="PMingLiU" w:hAnsi="Arial" w:cs="Arial"/>
          <w:color w:val="auto"/>
          <w:sz w:val="22"/>
          <w:szCs w:val="22"/>
        </w:rPr>
        <w:t xml:space="preserve"> </w:t>
      </w:r>
      <w:r w:rsidR="001C0381" w:rsidRPr="00011F56">
        <w:rPr>
          <w:rFonts w:ascii="Arial" w:eastAsia="PMingLiU" w:hAnsi="Arial" w:cs="Arial"/>
          <w:color w:val="auto"/>
          <w:sz w:val="22"/>
          <w:szCs w:val="22"/>
        </w:rPr>
        <w:t>tools in three sections:</w:t>
      </w:r>
    </w:p>
    <w:p w:rsidR="001C0381" w:rsidRPr="00011F56" w:rsidRDefault="001C0381" w:rsidP="00692FDA">
      <w:pPr>
        <w:numPr>
          <w:ilvl w:val="0"/>
          <w:numId w:val="9"/>
        </w:numPr>
        <w:autoSpaceDE w:val="0"/>
        <w:autoSpaceDN w:val="0"/>
        <w:adjustRightInd w:val="0"/>
        <w:spacing w:before="120"/>
        <w:ind w:left="714" w:hanging="357"/>
        <w:rPr>
          <w:rFonts w:ascii="Arial" w:eastAsia="PMingLiU" w:hAnsi="Arial" w:cs="Arial"/>
          <w:color w:val="auto"/>
          <w:sz w:val="22"/>
          <w:szCs w:val="22"/>
        </w:rPr>
      </w:pPr>
      <w:r w:rsidRPr="00011F56">
        <w:rPr>
          <w:rFonts w:ascii="Arial" w:eastAsia="PMingLiU" w:hAnsi="Arial" w:cs="Arial"/>
          <w:i/>
          <w:iCs/>
          <w:color w:val="auto"/>
          <w:sz w:val="22"/>
          <w:szCs w:val="22"/>
        </w:rPr>
        <w:t>Guide to practitioners</w:t>
      </w:r>
      <w:r w:rsidRPr="00011F56">
        <w:rPr>
          <w:rFonts w:ascii="Arial" w:eastAsia="PMingLiU" w:hAnsi="Arial" w:cs="Arial"/>
          <w:color w:val="auto"/>
          <w:sz w:val="22"/>
          <w:szCs w:val="22"/>
        </w:rPr>
        <w:t>—which aims to encourage good practice in applying the principles of transit</w:t>
      </w:r>
      <w:r w:rsidR="00011F56" w:rsidRPr="00011F56">
        <w:rPr>
          <w:rFonts w:ascii="Arial" w:eastAsia="PMingLiU" w:hAnsi="Arial" w:cs="Arial"/>
          <w:color w:val="auto"/>
          <w:sz w:val="22"/>
          <w:szCs w:val="22"/>
        </w:rPr>
        <w:t xml:space="preserve"> </w:t>
      </w:r>
      <w:r w:rsidRPr="00011F56">
        <w:rPr>
          <w:rFonts w:ascii="Arial" w:eastAsia="PMingLiU" w:hAnsi="Arial" w:cs="Arial"/>
          <w:color w:val="auto"/>
          <w:sz w:val="22"/>
          <w:szCs w:val="22"/>
        </w:rPr>
        <w:t>oriented development</w:t>
      </w:r>
    </w:p>
    <w:p w:rsidR="001C0381" w:rsidRPr="00011F56" w:rsidRDefault="001C0381" w:rsidP="00692FDA">
      <w:pPr>
        <w:numPr>
          <w:ilvl w:val="0"/>
          <w:numId w:val="9"/>
        </w:numPr>
        <w:autoSpaceDE w:val="0"/>
        <w:autoSpaceDN w:val="0"/>
        <w:adjustRightInd w:val="0"/>
        <w:spacing w:before="120"/>
        <w:ind w:left="714" w:hanging="357"/>
        <w:rPr>
          <w:rFonts w:ascii="Arial" w:eastAsia="PMingLiU" w:hAnsi="Arial" w:cs="Arial"/>
          <w:color w:val="auto"/>
          <w:sz w:val="22"/>
          <w:szCs w:val="22"/>
        </w:rPr>
      </w:pPr>
      <w:r w:rsidRPr="00011F56">
        <w:rPr>
          <w:rFonts w:ascii="Arial" w:eastAsia="PMingLiU" w:hAnsi="Arial" w:cs="Arial"/>
          <w:i/>
          <w:iCs/>
          <w:color w:val="auto"/>
          <w:sz w:val="22"/>
          <w:szCs w:val="22"/>
        </w:rPr>
        <w:t>Guide to community diversity</w:t>
      </w:r>
      <w:r w:rsidRPr="00011F56">
        <w:rPr>
          <w:rFonts w:ascii="Arial" w:eastAsia="PMingLiU" w:hAnsi="Arial" w:cs="Arial"/>
          <w:color w:val="auto"/>
          <w:sz w:val="22"/>
          <w:szCs w:val="22"/>
        </w:rPr>
        <w:t>—which provides guidance on how to achieve diverse and inclusive</w:t>
      </w:r>
      <w:r w:rsidR="00011F56" w:rsidRPr="00011F56">
        <w:rPr>
          <w:rFonts w:ascii="Arial" w:eastAsia="PMingLiU" w:hAnsi="Arial" w:cs="Arial"/>
          <w:color w:val="auto"/>
          <w:sz w:val="22"/>
          <w:szCs w:val="22"/>
        </w:rPr>
        <w:t xml:space="preserve"> </w:t>
      </w:r>
      <w:r w:rsidRPr="00011F56">
        <w:rPr>
          <w:rFonts w:ascii="Arial" w:eastAsia="PMingLiU" w:hAnsi="Arial" w:cs="Arial"/>
          <w:color w:val="auto"/>
          <w:sz w:val="22"/>
          <w:szCs w:val="22"/>
        </w:rPr>
        <w:t>communities in transit oriented development precincts</w:t>
      </w:r>
    </w:p>
    <w:p w:rsidR="001C0381" w:rsidRDefault="001C0381" w:rsidP="00692FDA">
      <w:pPr>
        <w:numPr>
          <w:ilvl w:val="0"/>
          <w:numId w:val="9"/>
        </w:numPr>
        <w:autoSpaceDE w:val="0"/>
        <w:autoSpaceDN w:val="0"/>
        <w:adjustRightInd w:val="0"/>
        <w:spacing w:before="120"/>
        <w:ind w:left="714" w:hanging="357"/>
        <w:rPr>
          <w:rFonts w:ascii="Arial" w:eastAsia="PMingLiU" w:hAnsi="Arial" w:cs="Arial"/>
          <w:color w:val="auto"/>
          <w:sz w:val="22"/>
          <w:szCs w:val="22"/>
        </w:rPr>
      </w:pPr>
      <w:r w:rsidRPr="00011F56">
        <w:rPr>
          <w:rFonts w:ascii="Arial" w:eastAsia="PMingLiU" w:hAnsi="Arial" w:cs="Arial"/>
          <w:i/>
          <w:iCs/>
          <w:color w:val="auto"/>
          <w:sz w:val="22"/>
          <w:szCs w:val="22"/>
        </w:rPr>
        <w:t>Guide for development in a railway environment</w:t>
      </w:r>
      <w:r w:rsidRPr="00011F56">
        <w:rPr>
          <w:rFonts w:ascii="Arial" w:eastAsia="PMingLiU" w:hAnsi="Arial" w:cs="Arial"/>
          <w:color w:val="auto"/>
          <w:sz w:val="22"/>
          <w:szCs w:val="22"/>
        </w:rPr>
        <w:t>—a technical guide written for developers and</w:t>
      </w:r>
      <w:r w:rsidR="00011F56" w:rsidRPr="00011F56">
        <w:rPr>
          <w:rFonts w:ascii="Arial" w:eastAsia="PMingLiU" w:hAnsi="Arial" w:cs="Arial"/>
          <w:color w:val="auto"/>
          <w:sz w:val="22"/>
          <w:szCs w:val="22"/>
        </w:rPr>
        <w:t xml:space="preserve"> </w:t>
      </w:r>
      <w:r w:rsidRPr="00011F56">
        <w:rPr>
          <w:rFonts w:ascii="Arial" w:eastAsia="PMingLiU" w:hAnsi="Arial" w:cs="Arial"/>
          <w:color w:val="auto"/>
          <w:sz w:val="22"/>
          <w:szCs w:val="22"/>
        </w:rPr>
        <w:t>practitioners involved with projects in or around a Queensland rail corridor.</w:t>
      </w:r>
    </w:p>
    <w:p w:rsidR="00011F56" w:rsidRPr="00011F56" w:rsidRDefault="00011F56" w:rsidP="00011F56">
      <w:pPr>
        <w:autoSpaceDE w:val="0"/>
        <w:autoSpaceDN w:val="0"/>
        <w:adjustRightInd w:val="0"/>
        <w:ind w:left="720"/>
        <w:rPr>
          <w:rFonts w:ascii="Arial" w:eastAsia="PMingLiU" w:hAnsi="Arial" w:cs="Arial"/>
          <w:color w:val="auto"/>
          <w:sz w:val="22"/>
          <w:szCs w:val="22"/>
        </w:rPr>
      </w:pPr>
    </w:p>
    <w:p w:rsidR="005B150F" w:rsidRPr="00692FDA" w:rsidRDefault="00096690" w:rsidP="00C34C5F">
      <w:pPr>
        <w:numPr>
          <w:ilvl w:val="0"/>
          <w:numId w:val="1"/>
        </w:numPr>
        <w:tabs>
          <w:tab w:val="clear" w:pos="132"/>
        </w:tabs>
        <w:spacing w:after="120"/>
        <w:ind w:left="426" w:hanging="426"/>
        <w:jc w:val="both"/>
        <w:rPr>
          <w:rFonts w:ascii="Arial" w:hAnsi="Arial" w:cs="Arial"/>
          <w:color w:val="auto"/>
          <w:sz w:val="22"/>
          <w:szCs w:val="22"/>
        </w:rPr>
      </w:pPr>
      <w:r w:rsidRPr="00C34C5F">
        <w:rPr>
          <w:rFonts w:ascii="Arial" w:hAnsi="Arial" w:cs="Arial"/>
          <w:sz w:val="22"/>
          <w:szCs w:val="22"/>
          <w:u w:val="single"/>
        </w:rPr>
        <w:t>Cabinet endorsed</w:t>
      </w:r>
      <w:r>
        <w:rPr>
          <w:rFonts w:ascii="Arial" w:hAnsi="Arial" w:cs="Arial"/>
          <w:sz w:val="22"/>
          <w:szCs w:val="22"/>
        </w:rPr>
        <w:t xml:space="preserve"> </w:t>
      </w:r>
      <w:r w:rsidRPr="00C91640">
        <w:rPr>
          <w:rFonts w:ascii="Arial" w:hAnsi="Arial" w:cs="Arial"/>
          <w:sz w:val="22"/>
          <w:szCs w:val="22"/>
        </w:rPr>
        <w:t xml:space="preserve">the </w:t>
      </w:r>
      <w:r w:rsidR="00356B43" w:rsidRPr="00C91640">
        <w:rPr>
          <w:rFonts w:ascii="Arial" w:hAnsi="Arial" w:cs="Arial"/>
          <w:sz w:val="22"/>
          <w:szCs w:val="22"/>
        </w:rPr>
        <w:t xml:space="preserve">public release of the </w:t>
      </w:r>
      <w:r w:rsidR="00A93129" w:rsidRPr="00C34C5F">
        <w:rPr>
          <w:rFonts w:ascii="Arial" w:hAnsi="Arial" w:cs="Arial"/>
          <w:i/>
          <w:sz w:val="22"/>
          <w:szCs w:val="22"/>
        </w:rPr>
        <w:t>Transit Oriented Development</w:t>
      </w:r>
      <w:r w:rsidR="00692FDA">
        <w:rPr>
          <w:rFonts w:ascii="Arial" w:hAnsi="Arial" w:cs="Arial"/>
          <w:i/>
          <w:sz w:val="22"/>
          <w:szCs w:val="22"/>
        </w:rPr>
        <w:t xml:space="preserve"> Guide</w:t>
      </w:r>
      <w:r w:rsidR="00A93129" w:rsidRPr="00C34C5F">
        <w:rPr>
          <w:rFonts w:ascii="Arial" w:hAnsi="Arial" w:cs="Arial"/>
          <w:sz w:val="22"/>
          <w:szCs w:val="22"/>
        </w:rPr>
        <w:t xml:space="preserve"> comprising</w:t>
      </w:r>
      <w:r w:rsidR="00C34C5F">
        <w:rPr>
          <w:rFonts w:ascii="Arial" w:hAnsi="Arial" w:cs="Arial"/>
          <w:sz w:val="22"/>
          <w:szCs w:val="22"/>
        </w:rPr>
        <w:t xml:space="preserve"> </w:t>
      </w:r>
      <w:r w:rsidR="00A93129" w:rsidRPr="00C34C5F">
        <w:rPr>
          <w:rFonts w:ascii="Arial" w:hAnsi="Arial" w:cs="Arial"/>
          <w:i/>
          <w:sz w:val="22"/>
          <w:szCs w:val="22"/>
        </w:rPr>
        <w:t>Part A:</w:t>
      </w:r>
      <w:r w:rsidR="00356B43" w:rsidRPr="00C34C5F">
        <w:rPr>
          <w:rFonts w:ascii="Arial" w:hAnsi="Arial" w:cs="Arial"/>
          <w:i/>
          <w:sz w:val="22"/>
          <w:szCs w:val="22"/>
        </w:rPr>
        <w:t xml:space="preserve"> Guide for practitioners in Queensland</w:t>
      </w:r>
      <w:r w:rsidR="00A93129" w:rsidRPr="00C34C5F">
        <w:rPr>
          <w:rFonts w:ascii="Arial" w:hAnsi="Arial" w:cs="Arial"/>
          <w:i/>
          <w:sz w:val="22"/>
          <w:szCs w:val="22"/>
        </w:rPr>
        <w:t>;</w:t>
      </w:r>
      <w:r w:rsidR="00C34C5F">
        <w:rPr>
          <w:rFonts w:ascii="Arial" w:hAnsi="Arial" w:cs="Arial"/>
          <w:i/>
          <w:sz w:val="22"/>
          <w:szCs w:val="22"/>
        </w:rPr>
        <w:t xml:space="preserve"> </w:t>
      </w:r>
      <w:r w:rsidR="00A93129" w:rsidRPr="00C34C5F">
        <w:rPr>
          <w:rFonts w:ascii="Arial" w:hAnsi="Arial" w:cs="Arial"/>
          <w:i/>
          <w:color w:val="auto"/>
          <w:sz w:val="22"/>
          <w:szCs w:val="22"/>
        </w:rPr>
        <w:t>Part B:</w:t>
      </w:r>
      <w:r w:rsidR="00C34C5F">
        <w:rPr>
          <w:rFonts w:ascii="Arial" w:hAnsi="Arial" w:cs="Arial"/>
          <w:i/>
          <w:color w:val="auto"/>
          <w:sz w:val="22"/>
          <w:szCs w:val="22"/>
        </w:rPr>
        <w:t xml:space="preserve"> </w:t>
      </w:r>
      <w:r w:rsidR="005B150F" w:rsidRPr="00C34C5F">
        <w:rPr>
          <w:rFonts w:ascii="Arial" w:hAnsi="Arial" w:cs="Arial"/>
          <w:i/>
          <w:color w:val="auto"/>
          <w:sz w:val="22"/>
          <w:szCs w:val="22"/>
        </w:rPr>
        <w:t xml:space="preserve">Guide to community diversity; </w:t>
      </w:r>
      <w:r w:rsidR="00C34C5F" w:rsidRPr="00C34C5F">
        <w:rPr>
          <w:rFonts w:ascii="Arial" w:hAnsi="Arial" w:cs="Arial"/>
          <w:color w:val="auto"/>
          <w:sz w:val="22"/>
          <w:szCs w:val="22"/>
        </w:rPr>
        <w:t>and</w:t>
      </w:r>
      <w:r w:rsidR="00C34C5F">
        <w:rPr>
          <w:rFonts w:ascii="Arial" w:hAnsi="Arial" w:cs="Arial"/>
          <w:i/>
          <w:color w:val="auto"/>
          <w:sz w:val="22"/>
          <w:szCs w:val="22"/>
        </w:rPr>
        <w:t xml:space="preserve"> </w:t>
      </w:r>
      <w:r w:rsidR="00692FDA">
        <w:rPr>
          <w:rFonts w:ascii="Arial" w:hAnsi="Arial" w:cs="Arial"/>
          <w:i/>
          <w:color w:val="auto"/>
          <w:sz w:val="22"/>
          <w:szCs w:val="22"/>
        </w:rPr>
        <w:t>Part C: Guide for development in a</w:t>
      </w:r>
      <w:r w:rsidR="005B150F" w:rsidRPr="00C34C5F">
        <w:rPr>
          <w:rFonts w:ascii="Arial" w:hAnsi="Arial" w:cs="Arial"/>
          <w:i/>
          <w:color w:val="auto"/>
          <w:sz w:val="22"/>
          <w:szCs w:val="22"/>
        </w:rPr>
        <w:t xml:space="preserve"> railway environment. </w:t>
      </w:r>
    </w:p>
    <w:p w:rsidR="00096690" w:rsidRPr="00692FDA" w:rsidRDefault="00096690" w:rsidP="00692FDA">
      <w:pPr>
        <w:keepNext/>
        <w:numPr>
          <w:ilvl w:val="0"/>
          <w:numId w:val="1"/>
        </w:numPr>
        <w:tabs>
          <w:tab w:val="num" w:pos="360"/>
        </w:tabs>
        <w:spacing w:before="360" w:after="120"/>
        <w:ind w:left="357" w:hanging="357"/>
        <w:jc w:val="both"/>
        <w:rPr>
          <w:rFonts w:ascii="Arial" w:hAnsi="Arial" w:cs="Arial"/>
          <w:color w:val="auto"/>
          <w:sz w:val="22"/>
          <w:szCs w:val="22"/>
        </w:rPr>
      </w:pPr>
      <w:r w:rsidRPr="00C34C5F">
        <w:rPr>
          <w:rFonts w:ascii="Arial" w:hAnsi="Arial" w:cs="Arial"/>
          <w:i/>
          <w:color w:val="auto"/>
          <w:sz w:val="22"/>
          <w:szCs w:val="22"/>
          <w:u w:val="single"/>
        </w:rPr>
        <w:t>Attachments</w:t>
      </w:r>
    </w:p>
    <w:p w:rsidR="00096690" w:rsidRPr="00C34C5F" w:rsidRDefault="00C32FD6" w:rsidP="00EC1EDF">
      <w:pPr>
        <w:numPr>
          <w:ilvl w:val="0"/>
          <w:numId w:val="2"/>
        </w:numPr>
        <w:tabs>
          <w:tab w:val="num" w:pos="709"/>
        </w:tabs>
        <w:spacing w:after="120"/>
        <w:ind w:left="357" w:firstLine="69"/>
        <w:jc w:val="both"/>
        <w:rPr>
          <w:rFonts w:ascii="Arial" w:hAnsi="Arial" w:cs="Arial"/>
          <w:i/>
          <w:color w:val="auto"/>
          <w:sz w:val="22"/>
          <w:szCs w:val="22"/>
        </w:rPr>
      </w:pPr>
      <w:hyperlink r:id="rId7" w:history="1">
        <w:r w:rsidR="00C34C5F" w:rsidRPr="00EC1EDF">
          <w:rPr>
            <w:rStyle w:val="Hyperlink"/>
            <w:rFonts w:ascii="Arial" w:hAnsi="Arial" w:cs="Arial"/>
            <w:sz w:val="22"/>
            <w:szCs w:val="22"/>
          </w:rPr>
          <w:t>Transit Oriented Development guide</w:t>
        </w:r>
      </w:hyperlink>
      <w:r w:rsidR="00EC1EDF" w:rsidRPr="00EC1EDF">
        <w:rPr>
          <w:rFonts w:ascii="Arial" w:hAnsi="Arial" w:cs="Arial"/>
          <w:color w:val="auto"/>
          <w:sz w:val="22"/>
          <w:szCs w:val="22"/>
        </w:rPr>
        <w:tab/>
      </w:r>
    </w:p>
    <w:sectPr w:rsidR="00096690" w:rsidRPr="00C34C5F" w:rsidSect="003E238F">
      <w:headerReference w:type="default" r:id="rId8"/>
      <w:footerReference w:type="default" r:id="rId9"/>
      <w:headerReference w:type="first" r:id="rId10"/>
      <w:pgSz w:w="11907" w:h="16840" w:code="9"/>
      <w:pgMar w:top="1985" w:right="1418" w:bottom="1191" w:left="1418" w:header="851" w:footer="851"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C91" w:rsidRDefault="00972C91">
      <w:r>
        <w:separator/>
      </w:r>
    </w:p>
  </w:endnote>
  <w:endnote w:type="continuationSeparator" w:id="0">
    <w:p w:rsidR="00972C91" w:rsidRDefault="00972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F56" w:rsidRPr="001141E1" w:rsidRDefault="00011F56" w:rsidP="00096690">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C91" w:rsidRDefault="00972C91">
      <w:r>
        <w:separator/>
      </w:r>
    </w:p>
  </w:footnote>
  <w:footnote w:type="continuationSeparator" w:id="0">
    <w:p w:rsidR="00972C91" w:rsidRDefault="00972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F56" w:rsidRPr="0072088D" w:rsidRDefault="00AC3814" w:rsidP="00356B43">
    <w:pPr>
      <w:pStyle w:val="Header"/>
      <w:ind w:firstLine="2880"/>
      <w:rPr>
        <w:rFonts w:ascii="Arial" w:hAnsi="Arial" w:cs="Arial"/>
        <w:b/>
        <w:sz w:val="22"/>
        <w:szCs w:val="22"/>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3" name="Picture 3"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011F56" w:rsidRPr="000400F9">
      <w:rPr>
        <w:rFonts w:ascii="Arial" w:hAnsi="Arial" w:cs="Arial"/>
        <w:b/>
        <w:sz w:val="22"/>
        <w:szCs w:val="22"/>
        <w:u w:val="single"/>
      </w:rPr>
      <w:t>Cabinet –</w:t>
    </w:r>
    <w:r w:rsidR="00011F56">
      <w:rPr>
        <w:rFonts w:ascii="Arial" w:hAnsi="Arial" w:cs="Arial"/>
        <w:b/>
        <w:sz w:val="22"/>
        <w:szCs w:val="22"/>
        <w:u w:val="single"/>
      </w:rPr>
      <w:t xml:space="preserve"> November 2009 </w:t>
    </w:r>
    <w:r w:rsidR="00011F56" w:rsidRPr="0072088D">
      <w:rPr>
        <w:rFonts w:ascii="Arial" w:hAnsi="Arial" w:cs="Arial"/>
        <w:b/>
        <w:sz w:val="22"/>
        <w:szCs w:val="22"/>
      </w:rPr>
      <w:t xml:space="preserve">    </w:t>
    </w:r>
    <w:r w:rsidR="00011F56" w:rsidRPr="0072088D">
      <w:rPr>
        <w:rFonts w:ascii="Arial" w:hAnsi="Arial" w:cs="Arial"/>
        <w:b/>
        <w:sz w:val="22"/>
        <w:szCs w:val="22"/>
      </w:rPr>
      <w:tab/>
      <w:t xml:space="preserve">ATTACHMENT </w:t>
    </w:r>
    <w:r w:rsidR="00011F56">
      <w:rPr>
        <w:rFonts w:ascii="Arial" w:hAnsi="Arial" w:cs="Arial"/>
        <w:b/>
        <w:sz w:val="22"/>
        <w:szCs w:val="22"/>
      </w:rPr>
      <w:t>7</w:t>
    </w:r>
  </w:p>
  <w:p w:rsidR="00011F56" w:rsidRPr="00BD3E86" w:rsidRDefault="00011F56" w:rsidP="00356B43">
    <w:pPr>
      <w:keepNext/>
      <w:keepLines/>
      <w:spacing w:before="240"/>
      <w:jc w:val="both"/>
      <w:rPr>
        <w:rFonts w:ascii="Arial" w:hAnsi="Arial" w:cs="Arial"/>
        <w:b/>
        <w:sz w:val="22"/>
        <w:szCs w:val="22"/>
        <w:u w:val="single"/>
      </w:rPr>
    </w:pPr>
    <w:r w:rsidRPr="00BD3E86">
      <w:rPr>
        <w:rFonts w:ascii="Arial" w:hAnsi="Arial" w:cs="Arial"/>
        <w:b/>
        <w:sz w:val="22"/>
        <w:szCs w:val="22"/>
        <w:u w:val="single"/>
      </w:rPr>
      <w:t>Transit Oriented Development Implementation Initiatives</w:t>
    </w:r>
  </w:p>
  <w:p w:rsidR="00011F56" w:rsidRDefault="00011F56" w:rsidP="00096690">
    <w:pPr>
      <w:pStyle w:val="Header"/>
      <w:spacing w:before="120"/>
      <w:rPr>
        <w:rFonts w:ascii="Arial" w:hAnsi="Arial" w:cs="Arial"/>
        <w:b/>
        <w:sz w:val="22"/>
        <w:szCs w:val="22"/>
        <w:u w:val="single"/>
      </w:rPr>
    </w:pPr>
    <w:r>
      <w:rPr>
        <w:rFonts w:ascii="Arial" w:hAnsi="Arial" w:cs="Arial"/>
        <w:b/>
        <w:sz w:val="22"/>
        <w:szCs w:val="22"/>
        <w:u w:val="single"/>
      </w:rPr>
      <w:t>Minister for Infrastructure and Planning &amp; Minister for Transport</w:t>
    </w:r>
  </w:p>
  <w:p w:rsidR="00011F56" w:rsidRPr="00F10DF9" w:rsidRDefault="00011F56" w:rsidP="00096690">
    <w:pPr>
      <w:pStyle w:val="Header"/>
      <w:pBdr>
        <w:bottom w:val="single" w:sz="8" w:space="1" w:color="auto"/>
      </w:pBdr>
      <w:spacing w:line="180" w:lineRule="exact"/>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F56" w:rsidRPr="0072088D" w:rsidRDefault="00AC3814" w:rsidP="00096690">
    <w:pPr>
      <w:pStyle w:val="Header"/>
      <w:ind w:firstLine="2880"/>
      <w:rPr>
        <w:rFonts w:ascii="Arial" w:hAnsi="Arial" w:cs="Arial"/>
        <w:b/>
        <w:sz w:val="22"/>
        <w:szCs w:val="22"/>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2" name="Picture 2"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011F56" w:rsidRPr="000400F9">
      <w:rPr>
        <w:rFonts w:ascii="Arial" w:hAnsi="Arial" w:cs="Arial"/>
        <w:b/>
        <w:sz w:val="22"/>
        <w:szCs w:val="22"/>
        <w:u w:val="single"/>
      </w:rPr>
      <w:t>Cabinet –</w:t>
    </w:r>
    <w:r w:rsidR="00011F56">
      <w:rPr>
        <w:rFonts w:ascii="Arial" w:hAnsi="Arial" w:cs="Arial"/>
        <w:b/>
        <w:sz w:val="22"/>
        <w:szCs w:val="22"/>
        <w:u w:val="single"/>
      </w:rPr>
      <w:t xml:space="preserve"> December 2009</w:t>
    </w:r>
  </w:p>
  <w:p w:rsidR="00011F56" w:rsidRPr="00BD3E86" w:rsidRDefault="00011F56" w:rsidP="00096690">
    <w:pPr>
      <w:keepNext/>
      <w:keepLines/>
      <w:spacing w:before="240"/>
      <w:jc w:val="both"/>
      <w:rPr>
        <w:rFonts w:ascii="Arial" w:hAnsi="Arial" w:cs="Arial"/>
        <w:b/>
        <w:sz w:val="22"/>
        <w:szCs w:val="22"/>
        <w:u w:val="single"/>
      </w:rPr>
    </w:pPr>
    <w:r w:rsidRPr="00BD3E86">
      <w:rPr>
        <w:rFonts w:ascii="Arial" w:hAnsi="Arial" w:cs="Arial"/>
        <w:b/>
        <w:sz w:val="22"/>
        <w:szCs w:val="22"/>
        <w:u w:val="single"/>
      </w:rPr>
      <w:t xml:space="preserve">Transit Oriented Development </w:t>
    </w:r>
    <w:r>
      <w:rPr>
        <w:rFonts w:ascii="Arial" w:hAnsi="Arial" w:cs="Arial"/>
        <w:b/>
        <w:sz w:val="22"/>
        <w:szCs w:val="22"/>
        <w:u w:val="single"/>
      </w:rPr>
      <w:t>Publications</w:t>
    </w:r>
  </w:p>
  <w:p w:rsidR="00011F56" w:rsidRDefault="00011F56" w:rsidP="00096690">
    <w:pPr>
      <w:pStyle w:val="Header"/>
      <w:spacing w:before="120"/>
      <w:rPr>
        <w:rFonts w:ascii="Arial" w:hAnsi="Arial" w:cs="Arial"/>
        <w:b/>
        <w:sz w:val="22"/>
        <w:szCs w:val="22"/>
        <w:u w:val="single"/>
      </w:rPr>
    </w:pPr>
    <w:r>
      <w:rPr>
        <w:rFonts w:ascii="Arial" w:hAnsi="Arial" w:cs="Arial"/>
        <w:b/>
        <w:sz w:val="22"/>
        <w:szCs w:val="22"/>
        <w:u w:val="single"/>
      </w:rPr>
      <w:t xml:space="preserve">Minister for Infrastructure and Planning </w:t>
    </w:r>
  </w:p>
  <w:p w:rsidR="00011F56" w:rsidRPr="00F10DF9" w:rsidRDefault="00011F56" w:rsidP="00096690">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421A8"/>
    <w:multiLevelType w:val="hybridMultilevel"/>
    <w:tmpl w:val="A57C00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8F5E91"/>
    <w:multiLevelType w:val="hybridMultilevel"/>
    <w:tmpl w:val="4612A74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6153744"/>
    <w:multiLevelType w:val="hybridMultilevel"/>
    <w:tmpl w:val="CE284952"/>
    <w:lvl w:ilvl="0" w:tplc="23F850D4">
      <w:start w:val="1"/>
      <w:numFmt w:val="bullet"/>
      <w:lvlText w:val=""/>
      <w:lvlJc w:val="left"/>
      <w:pPr>
        <w:tabs>
          <w:tab w:val="num" w:pos="1080"/>
        </w:tabs>
        <w:ind w:left="1080" w:hanging="360"/>
      </w:pPr>
      <w:rPr>
        <w:rFonts w:ascii="Symbol" w:hAnsi="Symbol" w:hint="default"/>
      </w:rPr>
    </w:lvl>
    <w:lvl w:ilvl="1" w:tplc="1F9273E8">
      <w:start w:val="1"/>
      <w:numFmt w:val="decimal"/>
      <w:lvlText w:val="%2."/>
      <w:lvlJc w:val="left"/>
      <w:pPr>
        <w:tabs>
          <w:tab w:val="num" w:pos="1803"/>
        </w:tabs>
        <w:ind w:left="1803" w:hanging="363"/>
      </w:pPr>
      <w:rPr>
        <w:rFonts w:cs="Times New Roman" w:hint="default"/>
        <w:i w:val="0"/>
      </w:rPr>
    </w:lvl>
    <w:lvl w:ilvl="2" w:tplc="0C09001B">
      <w:start w:val="1"/>
      <w:numFmt w:val="lowerRoman"/>
      <w:lvlText w:val="%3."/>
      <w:lvlJc w:val="right"/>
      <w:pPr>
        <w:tabs>
          <w:tab w:val="num" w:pos="2520"/>
        </w:tabs>
        <w:ind w:left="2520" w:hanging="180"/>
      </w:pPr>
      <w:rPr>
        <w:rFonts w:cs="Times New Roman"/>
      </w:rPr>
    </w:lvl>
    <w:lvl w:ilvl="3" w:tplc="0C09000F">
      <w:start w:val="1"/>
      <w:numFmt w:val="decimal"/>
      <w:lvlText w:val="%4."/>
      <w:lvlJc w:val="left"/>
      <w:pPr>
        <w:tabs>
          <w:tab w:val="num" w:pos="3240"/>
        </w:tabs>
        <w:ind w:left="3240" w:hanging="360"/>
      </w:pPr>
      <w:rPr>
        <w:rFonts w:cs="Times New Roman"/>
      </w:rPr>
    </w:lvl>
    <w:lvl w:ilvl="4" w:tplc="0C090019">
      <w:start w:val="1"/>
      <w:numFmt w:val="lowerLetter"/>
      <w:lvlText w:val="%5."/>
      <w:lvlJc w:val="left"/>
      <w:pPr>
        <w:tabs>
          <w:tab w:val="num" w:pos="3960"/>
        </w:tabs>
        <w:ind w:left="3960" w:hanging="360"/>
      </w:pPr>
      <w:rPr>
        <w:rFonts w:cs="Times New Roman"/>
      </w:rPr>
    </w:lvl>
    <w:lvl w:ilvl="5" w:tplc="0C09001B">
      <w:start w:val="1"/>
      <w:numFmt w:val="lowerRoman"/>
      <w:lvlText w:val="%6."/>
      <w:lvlJc w:val="right"/>
      <w:pPr>
        <w:tabs>
          <w:tab w:val="num" w:pos="4680"/>
        </w:tabs>
        <w:ind w:left="4680" w:hanging="180"/>
      </w:pPr>
      <w:rPr>
        <w:rFonts w:cs="Times New Roman"/>
      </w:rPr>
    </w:lvl>
    <w:lvl w:ilvl="6" w:tplc="0C09000F">
      <w:start w:val="1"/>
      <w:numFmt w:val="decimal"/>
      <w:lvlText w:val="%7."/>
      <w:lvlJc w:val="left"/>
      <w:pPr>
        <w:tabs>
          <w:tab w:val="num" w:pos="5400"/>
        </w:tabs>
        <w:ind w:left="5400" w:hanging="360"/>
      </w:pPr>
      <w:rPr>
        <w:rFonts w:cs="Times New Roman"/>
      </w:rPr>
    </w:lvl>
    <w:lvl w:ilvl="7" w:tplc="0C090019">
      <w:start w:val="1"/>
      <w:numFmt w:val="lowerLetter"/>
      <w:lvlText w:val="%8."/>
      <w:lvlJc w:val="left"/>
      <w:pPr>
        <w:tabs>
          <w:tab w:val="num" w:pos="6120"/>
        </w:tabs>
        <w:ind w:left="6120" w:hanging="360"/>
      </w:pPr>
      <w:rPr>
        <w:rFonts w:cs="Times New Roman"/>
      </w:rPr>
    </w:lvl>
    <w:lvl w:ilvl="8" w:tplc="0C09001B">
      <w:start w:val="1"/>
      <w:numFmt w:val="lowerRoman"/>
      <w:lvlText w:val="%9."/>
      <w:lvlJc w:val="right"/>
      <w:pPr>
        <w:tabs>
          <w:tab w:val="num" w:pos="6840"/>
        </w:tabs>
        <w:ind w:left="6840" w:hanging="180"/>
      </w:pPr>
      <w:rPr>
        <w:rFonts w:cs="Times New Roman"/>
      </w:rPr>
    </w:lvl>
  </w:abstractNum>
  <w:abstractNum w:abstractNumId="3" w15:restartNumberingAfterBreak="0">
    <w:nsid w:val="506C0388"/>
    <w:multiLevelType w:val="hybridMultilevel"/>
    <w:tmpl w:val="6F00C996"/>
    <w:lvl w:ilvl="0" w:tplc="23F850D4">
      <w:start w:val="1"/>
      <w:numFmt w:val="bullet"/>
      <w:lvlText w:val=""/>
      <w:lvlJc w:val="left"/>
      <w:pPr>
        <w:tabs>
          <w:tab w:val="num" w:pos="1080"/>
        </w:tabs>
        <w:ind w:left="1080" w:hanging="360"/>
      </w:pPr>
      <w:rPr>
        <w:rFonts w:ascii="Symbol" w:hAnsi="Symbol" w:hint="default"/>
      </w:rPr>
    </w:lvl>
    <w:lvl w:ilvl="1" w:tplc="F93CFD58">
      <w:start w:val="1"/>
      <w:numFmt w:val="decimal"/>
      <w:lvlText w:val="%2."/>
      <w:lvlJc w:val="left"/>
      <w:pPr>
        <w:tabs>
          <w:tab w:val="num" w:pos="1800"/>
        </w:tabs>
        <w:ind w:left="1800" w:hanging="360"/>
      </w:pPr>
      <w:rPr>
        <w:rFonts w:hint="default"/>
        <w:i w:val="0"/>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8BF5067"/>
    <w:multiLevelType w:val="multilevel"/>
    <w:tmpl w:val="4612A74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C1025E0"/>
    <w:multiLevelType w:val="hybridMultilevel"/>
    <w:tmpl w:val="891457F4"/>
    <w:lvl w:ilvl="0" w:tplc="0DE0A1A6">
      <w:start w:val="1"/>
      <w:numFmt w:val="bullet"/>
      <w:lvlText w:val="­"/>
      <w:lvlJc w:val="left"/>
      <w:pPr>
        <w:tabs>
          <w:tab w:val="num" w:pos="720"/>
        </w:tabs>
        <w:ind w:left="720" w:hanging="360"/>
      </w:pPr>
      <w:rPr>
        <w:rFonts w:ascii="Courier New" w:hAnsi="Courier New" w:hint="default"/>
        <w:sz w:val="28"/>
        <w:szCs w:val="28"/>
      </w:rPr>
    </w:lvl>
    <w:lvl w:ilvl="1" w:tplc="DEE6CCEC">
      <w:start w:val="1"/>
      <w:numFmt w:val="lowerLetter"/>
      <w:lvlText w:val="%2."/>
      <w:lvlJc w:val="left"/>
      <w:pPr>
        <w:tabs>
          <w:tab w:val="num" w:pos="1440"/>
        </w:tabs>
        <w:ind w:left="1440" w:hanging="360"/>
      </w:pPr>
      <w:rPr>
        <w:rFonts w:ascii="Arial" w:hAnsi="Arial" w:hint="default"/>
        <w:b w:val="0"/>
        <w:i w:val="0"/>
        <w:sz w:val="22"/>
        <w:szCs w:val="2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567C98"/>
    <w:multiLevelType w:val="hybridMultilevel"/>
    <w:tmpl w:val="546E6C82"/>
    <w:lvl w:ilvl="0" w:tplc="A1BE78DE">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360"/>
        </w:tabs>
        <w:ind w:left="360" w:hanging="360"/>
      </w:pPr>
      <w:rPr>
        <w:rFonts w:ascii="Courier New" w:hAnsi="Courier New" w:hint="default"/>
      </w:rPr>
    </w:lvl>
    <w:lvl w:ilvl="2" w:tplc="0C090005">
      <w:start w:val="1"/>
      <w:numFmt w:val="bullet"/>
      <w:lvlText w:val=""/>
      <w:lvlJc w:val="left"/>
      <w:pPr>
        <w:tabs>
          <w:tab w:val="num" w:pos="1080"/>
        </w:tabs>
        <w:ind w:left="1080" w:hanging="360"/>
      </w:pPr>
      <w:rPr>
        <w:rFonts w:ascii="Wingdings" w:hAnsi="Wingdings" w:hint="default"/>
      </w:rPr>
    </w:lvl>
    <w:lvl w:ilvl="3" w:tplc="0C090001">
      <w:start w:val="1"/>
      <w:numFmt w:val="bullet"/>
      <w:lvlText w:val=""/>
      <w:lvlJc w:val="left"/>
      <w:pPr>
        <w:tabs>
          <w:tab w:val="num" w:pos="1800"/>
        </w:tabs>
        <w:ind w:left="1800" w:hanging="360"/>
      </w:pPr>
      <w:rPr>
        <w:rFonts w:ascii="Symbol" w:hAnsi="Symbol" w:hint="default"/>
      </w:rPr>
    </w:lvl>
    <w:lvl w:ilvl="4" w:tplc="0C090003">
      <w:start w:val="1"/>
      <w:numFmt w:val="bullet"/>
      <w:lvlText w:val="o"/>
      <w:lvlJc w:val="left"/>
      <w:pPr>
        <w:tabs>
          <w:tab w:val="num" w:pos="2520"/>
        </w:tabs>
        <w:ind w:left="2520" w:hanging="360"/>
      </w:pPr>
      <w:rPr>
        <w:rFonts w:ascii="Courier New" w:hAnsi="Courier New" w:hint="default"/>
      </w:rPr>
    </w:lvl>
    <w:lvl w:ilvl="5" w:tplc="0C090005">
      <w:start w:val="1"/>
      <w:numFmt w:val="bullet"/>
      <w:lvlText w:val=""/>
      <w:lvlJc w:val="left"/>
      <w:pPr>
        <w:tabs>
          <w:tab w:val="num" w:pos="3240"/>
        </w:tabs>
        <w:ind w:left="3240" w:hanging="360"/>
      </w:pPr>
      <w:rPr>
        <w:rFonts w:ascii="Wingdings" w:hAnsi="Wingdings" w:hint="default"/>
      </w:rPr>
    </w:lvl>
    <w:lvl w:ilvl="6" w:tplc="0C090001">
      <w:start w:val="1"/>
      <w:numFmt w:val="bullet"/>
      <w:lvlText w:val=""/>
      <w:lvlJc w:val="left"/>
      <w:pPr>
        <w:tabs>
          <w:tab w:val="num" w:pos="3960"/>
        </w:tabs>
        <w:ind w:left="3960" w:hanging="360"/>
      </w:pPr>
      <w:rPr>
        <w:rFonts w:ascii="Symbol" w:hAnsi="Symbol" w:hint="default"/>
      </w:rPr>
    </w:lvl>
    <w:lvl w:ilvl="7" w:tplc="0C090003">
      <w:start w:val="1"/>
      <w:numFmt w:val="bullet"/>
      <w:lvlText w:val="o"/>
      <w:lvlJc w:val="left"/>
      <w:pPr>
        <w:tabs>
          <w:tab w:val="num" w:pos="4680"/>
        </w:tabs>
        <w:ind w:left="4680" w:hanging="360"/>
      </w:pPr>
      <w:rPr>
        <w:rFonts w:ascii="Courier New" w:hAnsi="Courier New" w:hint="default"/>
      </w:rPr>
    </w:lvl>
    <w:lvl w:ilvl="8" w:tplc="0C090005">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8" w15:restartNumberingAfterBreak="0">
    <w:nsid w:val="7F176F87"/>
    <w:multiLevelType w:val="hybridMultilevel"/>
    <w:tmpl w:val="FFB8F92E"/>
    <w:lvl w:ilvl="0" w:tplc="0C09000F">
      <w:start w:val="1"/>
      <w:numFmt w:val="decimal"/>
      <w:lvlText w:val="%1."/>
      <w:lvlJc w:val="left"/>
      <w:pPr>
        <w:tabs>
          <w:tab w:val="num" w:pos="132"/>
        </w:tabs>
        <w:ind w:left="132" w:hanging="360"/>
      </w:pPr>
      <w:rPr>
        <w:rFonts w:cs="Times New Roman"/>
      </w:rPr>
    </w:lvl>
    <w:lvl w:ilvl="1" w:tplc="1F9273E8">
      <w:start w:val="1"/>
      <w:numFmt w:val="decimal"/>
      <w:lvlText w:val="%2."/>
      <w:lvlJc w:val="left"/>
      <w:pPr>
        <w:tabs>
          <w:tab w:val="num" w:pos="855"/>
        </w:tabs>
        <w:ind w:left="855" w:hanging="363"/>
      </w:pPr>
      <w:rPr>
        <w:rFonts w:cs="Times New Roman" w:hint="default"/>
        <w:i w:val="0"/>
      </w:rPr>
    </w:lvl>
    <w:lvl w:ilvl="2" w:tplc="0C09001B">
      <w:start w:val="1"/>
      <w:numFmt w:val="lowerRoman"/>
      <w:lvlText w:val="%3."/>
      <w:lvlJc w:val="right"/>
      <w:pPr>
        <w:tabs>
          <w:tab w:val="num" w:pos="1572"/>
        </w:tabs>
        <w:ind w:left="1572" w:hanging="180"/>
      </w:pPr>
      <w:rPr>
        <w:rFonts w:cs="Times New Roman"/>
      </w:rPr>
    </w:lvl>
    <w:lvl w:ilvl="3" w:tplc="0C09000F">
      <w:start w:val="1"/>
      <w:numFmt w:val="decimal"/>
      <w:lvlText w:val="%4."/>
      <w:lvlJc w:val="left"/>
      <w:pPr>
        <w:tabs>
          <w:tab w:val="num" w:pos="2292"/>
        </w:tabs>
        <w:ind w:left="2292" w:hanging="360"/>
      </w:pPr>
      <w:rPr>
        <w:rFonts w:cs="Times New Roman"/>
      </w:rPr>
    </w:lvl>
    <w:lvl w:ilvl="4" w:tplc="0C090019">
      <w:start w:val="1"/>
      <w:numFmt w:val="lowerLetter"/>
      <w:lvlText w:val="%5."/>
      <w:lvlJc w:val="left"/>
      <w:pPr>
        <w:tabs>
          <w:tab w:val="num" w:pos="3012"/>
        </w:tabs>
        <w:ind w:left="3012" w:hanging="360"/>
      </w:pPr>
      <w:rPr>
        <w:rFonts w:cs="Times New Roman"/>
      </w:rPr>
    </w:lvl>
    <w:lvl w:ilvl="5" w:tplc="0C09001B">
      <w:start w:val="1"/>
      <w:numFmt w:val="lowerRoman"/>
      <w:lvlText w:val="%6."/>
      <w:lvlJc w:val="right"/>
      <w:pPr>
        <w:tabs>
          <w:tab w:val="num" w:pos="3732"/>
        </w:tabs>
        <w:ind w:left="3732" w:hanging="180"/>
      </w:pPr>
      <w:rPr>
        <w:rFonts w:cs="Times New Roman"/>
      </w:rPr>
    </w:lvl>
    <w:lvl w:ilvl="6" w:tplc="0C09000F">
      <w:start w:val="1"/>
      <w:numFmt w:val="decimal"/>
      <w:lvlText w:val="%7."/>
      <w:lvlJc w:val="left"/>
      <w:pPr>
        <w:tabs>
          <w:tab w:val="num" w:pos="4452"/>
        </w:tabs>
        <w:ind w:left="4452" w:hanging="360"/>
      </w:pPr>
      <w:rPr>
        <w:rFonts w:cs="Times New Roman"/>
      </w:rPr>
    </w:lvl>
    <w:lvl w:ilvl="7" w:tplc="0C090019">
      <w:start w:val="1"/>
      <w:numFmt w:val="lowerLetter"/>
      <w:lvlText w:val="%8."/>
      <w:lvlJc w:val="left"/>
      <w:pPr>
        <w:tabs>
          <w:tab w:val="num" w:pos="5172"/>
        </w:tabs>
        <w:ind w:left="5172" w:hanging="360"/>
      </w:pPr>
      <w:rPr>
        <w:rFonts w:cs="Times New Roman"/>
      </w:rPr>
    </w:lvl>
    <w:lvl w:ilvl="8" w:tplc="0C09001B">
      <w:start w:val="1"/>
      <w:numFmt w:val="lowerRoman"/>
      <w:lvlText w:val="%9."/>
      <w:lvlJc w:val="right"/>
      <w:pPr>
        <w:tabs>
          <w:tab w:val="num" w:pos="5892"/>
        </w:tabs>
        <w:ind w:left="5892" w:hanging="180"/>
      </w:pPr>
      <w:rPr>
        <w:rFonts w:cs="Times New Roman"/>
      </w:rPr>
    </w:lvl>
  </w:abstractNum>
  <w:num w:numId="1">
    <w:abstractNumId w:val="8"/>
  </w:num>
  <w:num w:numId="2">
    <w:abstractNumId w:val="7"/>
  </w:num>
  <w:num w:numId="3">
    <w:abstractNumId w:val="5"/>
  </w:num>
  <w:num w:numId="4">
    <w:abstractNumId w:val="6"/>
  </w:num>
  <w:num w:numId="5">
    <w:abstractNumId w:val="1"/>
  </w:num>
  <w:num w:numId="6">
    <w:abstractNumId w:val="4"/>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690"/>
    <w:rsid w:val="00011F56"/>
    <w:rsid w:val="0001362D"/>
    <w:rsid w:val="00023E85"/>
    <w:rsid w:val="00052B5A"/>
    <w:rsid w:val="00096690"/>
    <w:rsid w:val="0016260E"/>
    <w:rsid w:val="00170202"/>
    <w:rsid w:val="00186F81"/>
    <w:rsid w:val="001A6F16"/>
    <w:rsid w:val="001B65AA"/>
    <w:rsid w:val="001C0381"/>
    <w:rsid w:val="002807D2"/>
    <w:rsid w:val="002905A8"/>
    <w:rsid w:val="002D049F"/>
    <w:rsid w:val="00337219"/>
    <w:rsid w:val="00356B43"/>
    <w:rsid w:val="003E238F"/>
    <w:rsid w:val="0048084C"/>
    <w:rsid w:val="004826AA"/>
    <w:rsid w:val="00552A02"/>
    <w:rsid w:val="00556FFA"/>
    <w:rsid w:val="005A0034"/>
    <w:rsid w:val="005B150F"/>
    <w:rsid w:val="00692FDA"/>
    <w:rsid w:val="006B5DCD"/>
    <w:rsid w:val="006E3B2F"/>
    <w:rsid w:val="007D2D44"/>
    <w:rsid w:val="007F6F6E"/>
    <w:rsid w:val="0082317E"/>
    <w:rsid w:val="00972C91"/>
    <w:rsid w:val="00A24938"/>
    <w:rsid w:val="00A93129"/>
    <w:rsid w:val="00AC3814"/>
    <w:rsid w:val="00BB3007"/>
    <w:rsid w:val="00C32FD6"/>
    <w:rsid w:val="00C34C5F"/>
    <w:rsid w:val="00C47C1F"/>
    <w:rsid w:val="00C82BC6"/>
    <w:rsid w:val="00C84FD8"/>
    <w:rsid w:val="00C93A94"/>
    <w:rsid w:val="00CB6BE1"/>
    <w:rsid w:val="00CE4D46"/>
    <w:rsid w:val="00D371E9"/>
    <w:rsid w:val="00D46801"/>
    <w:rsid w:val="00DC7823"/>
    <w:rsid w:val="00E9701F"/>
    <w:rsid w:val="00EC1EDF"/>
    <w:rsid w:val="00F4224B"/>
    <w:rsid w:val="00FF6B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690"/>
    <w:rPr>
      <w:rFonts w:eastAsia="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96690"/>
    <w:pPr>
      <w:tabs>
        <w:tab w:val="center" w:pos="4153"/>
        <w:tab w:val="right" w:pos="8306"/>
      </w:tabs>
    </w:pPr>
    <w:rPr>
      <w:color w:val="auto"/>
    </w:rPr>
  </w:style>
  <w:style w:type="character" w:customStyle="1" w:styleId="HeaderChar">
    <w:name w:val="Header Char"/>
    <w:basedOn w:val="DefaultParagraphFont"/>
    <w:link w:val="Header"/>
    <w:semiHidden/>
    <w:locked/>
    <w:rsid w:val="00096690"/>
    <w:rPr>
      <w:sz w:val="24"/>
      <w:szCs w:val="24"/>
      <w:lang w:val="en-AU" w:eastAsia="en-AU" w:bidi="ar-SA"/>
    </w:rPr>
  </w:style>
  <w:style w:type="paragraph" w:styleId="Footer">
    <w:name w:val="footer"/>
    <w:basedOn w:val="Normal"/>
    <w:link w:val="FooterChar"/>
    <w:rsid w:val="00096690"/>
    <w:pPr>
      <w:tabs>
        <w:tab w:val="center" w:pos="4153"/>
        <w:tab w:val="right" w:pos="8306"/>
      </w:tabs>
    </w:pPr>
  </w:style>
  <w:style w:type="character" w:customStyle="1" w:styleId="FooterChar">
    <w:name w:val="Footer Char"/>
    <w:basedOn w:val="DefaultParagraphFont"/>
    <w:link w:val="Footer"/>
    <w:semiHidden/>
    <w:locked/>
    <w:rsid w:val="00096690"/>
    <w:rPr>
      <w:color w:val="000000"/>
      <w:sz w:val="24"/>
      <w:szCs w:val="24"/>
      <w:lang w:val="en-AU" w:eastAsia="en-AU" w:bidi="ar-SA"/>
    </w:rPr>
  </w:style>
  <w:style w:type="paragraph" w:customStyle="1" w:styleId="CharChar3CharCharCharCharCharChar">
    <w:name w:val="Char Char3 Char Char Char Char Char Char"/>
    <w:basedOn w:val="Normal"/>
    <w:rsid w:val="00096690"/>
    <w:pPr>
      <w:spacing w:after="160" w:line="240" w:lineRule="exact"/>
    </w:pPr>
    <w:rPr>
      <w:rFonts w:ascii="Tahoma" w:hAnsi="Tahoma" w:cs="Tahoma"/>
      <w:color w:val="auto"/>
      <w:sz w:val="20"/>
      <w:szCs w:val="20"/>
      <w:lang w:val="en-US" w:eastAsia="en-US"/>
    </w:rPr>
  </w:style>
  <w:style w:type="paragraph" w:styleId="BalloonText">
    <w:name w:val="Balloon Text"/>
    <w:basedOn w:val="Normal"/>
    <w:link w:val="BalloonTextChar"/>
    <w:rsid w:val="00692FDA"/>
    <w:rPr>
      <w:rFonts w:ascii="Tahoma" w:hAnsi="Tahoma" w:cs="Tahoma"/>
      <w:sz w:val="16"/>
      <w:szCs w:val="16"/>
    </w:rPr>
  </w:style>
  <w:style w:type="character" w:customStyle="1" w:styleId="BalloonTextChar">
    <w:name w:val="Balloon Text Char"/>
    <w:basedOn w:val="DefaultParagraphFont"/>
    <w:link w:val="BalloonText"/>
    <w:rsid w:val="00692FDA"/>
    <w:rPr>
      <w:rFonts w:ascii="Tahoma" w:eastAsia="Times New Roman" w:hAnsi="Tahoma" w:cs="Tahoma"/>
      <w:color w:val="000000"/>
      <w:sz w:val="16"/>
      <w:szCs w:val="16"/>
    </w:rPr>
  </w:style>
  <w:style w:type="character" w:styleId="Hyperlink">
    <w:name w:val="Hyperlink"/>
    <w:basedOn w:val="DefaultParagraphFont"/>
    <w:rsid w:val="00692F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tod-guide%5b1%5d.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1951</Characters>
  <Application>Microsoft Office Word</Application>
  <DocSecurity>0</DocSecurity>
  <Lines>34</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2263</CharactersWithSpaces>
  <SharedDoc>false</SharedDoc>
  <HyperlinkBase>https://www.cabinet.qld.gov.au/documents/2009/Dec/TOD Publications/</HyperlinkBase>
  <HLinks>
    <vt:vector size="6" baseType="variant">
      <vt:variant>
        <vt:i4>6</vt:i4>
      </vt:variant>
      <vt:variant>
        <vt:i4>0</vt:i4>
      </vt:variant>
      <vt:variant>
        <vt:i4>0</vt:i4>
      </vt:variant>
      <vt:variant>
        <vt:i4>5</vt:i4>
      </vt:variant>
      <vt:variant>
        <vt:lpwstr>Attachments/tod-guide%5b1%5d.pdf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2010-01-13T05:49:00Z</cp:lastPrinted>
  <dcterms:created xsi:type="dcterms:W3CDTF">2017-10-24T21:59:00Z</dcterms:created>
  <dcterms:modified xsi:type="dcterms:W3CDTF">2018-03-06T00:56:00Z</dcterms:modified>
  <cp:category>Planning,Transport,South_East_Queensland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